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CEAA2">
      <w:pPr>
        <w:spacing w:after="120"/>
        <w:ind w:left="1985" w:hanging="1985"/>
        <w:rPr>
          <w:rFonts w:hint="default" w:ascii="Arial" w:hAnsi="Arial" w:cs="Arial" w:eastAsiaTheme="minorEastAsia"/>
          <w:b/>
          <w:sz w:val="24"/>
          <w:szCs w:val="24"/>
          <w:highlight w:val="yellow"/>
          <w:lang w:val="en-US" w:eastAsia="zh-CN"/>
        </w:rPr>
      </w:pPr>
      <w:bookmarkStart w:id="0" w:name="_Hlk127531451"/>
      <w:bookmarkEnd w:id="0"/>
      <w:bookmarkStart w:id="1" w:name="OLE_LINK7"/>
      <w:bookmarkStart w:id="2" w:name="OLE_LINK5"/>
      <w:bookmarkStart w:id="3" w:name="OLE_LINK6"/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>3GPP TSG-RAN WG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val="en-US" w:eastAsia="zh-CN"/>
        </w:rPr>
        <w:t>5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Meeting #1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val="en-US" w:eastAsia="zh-CN"/>
        </w:rPr>
        <w:t>06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val="en-US" w:eastAsia="zh-CN"/>
        </w:rPr>
        <w:t>R5-251107</w:t>
      </w:r>
    </w:p>
    <w:p w14:paraId="5B870C7D">
      <w:pPr>
        <w:spacing w:after="120"/>
        <w:ind w:left="1985" w:hanging="1985"/>
        <w:rPr>
          <w:rFonts w:hint="default" w:ascii="Arial" w:hAnsi="Arial" w:cs="Arial" w:eastAsiaTheme="minorEastAsia"/>
          <w:b/>
          <w:sz w:val="24"/>
          <w:szCs w:val="24"/>
          <w:highlight w:val="none"/>
          <w:lang w:val="en-US" w:eastAsia="zh-CN"/>
        </w:rPr>
      </w:pPr>
      <w:bookmarkStart w:id="4" w:name="OLE_LINK1"/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val="en-US" w:eastAsia="zh-CN"/>
        </w:rPr>
        <w:t>Athen, GR, 17th – 21nd February, 2025</w:t>
      </w:r>
      <w:bookmarkStart w:id="11" w:name="_GoBack"/>
      <w:bookmarkEnd w:id="11"/>
    </w:p>
    <w:bookmarkEnd w:id="4"/>
    <w:p w14:paraId="12601FD5">
      <w:pPr>
        <w:tabs>
          <w:tab w:val="left" w:pos="2160"/>
        </w:tabs>
        <w:spacing w:before="1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5.3.37.2</w:t>
      </w:r>
    </w:p>
    <w:p w14:paraId="185D1CC5">
      <w:pPr>
        <w:tabs>
          <w:tab w:val="left" w:pos="2160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5" w:name="OLE_LINK9"/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bookmarkStart w:id="6" w:name="OLE_LINK12"/>
      <w:r>
        <w:rPr>
          <w:rFonts w:hint="eastAsia" w:ascii="Arial" w:hAnsi="Arial" w:cs="Arial"/>
          <w:b/>
          <w:sz w:val="24"/>
          <w:szCs w:val="24"/>
        </w:rPr>
        <w:t>CAICT</w:t>
      </w:r>
      <w:bookmarkEnd w:id="6"/>
    </w:p>
    <w:bookmarkEnd w:id="5"/>
    <w:p w14:paraId="007044DE">
      <w:pPr>
        <w:tabs>
          <w:tab w:val="left" w:pos="2160"/>
        </w:tabs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bookmarkStart w:id="7" w:name="OLE_LINK8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Discussion o</w:t>
      </w:r>
      <w:r>
        <w:rPr>
          <w:rFonts w:ascii="Arial" w:hAnsi="Arial" w:cs="Arial"/>
          <w:b/>
          <w:sz w:val="24"/>
          <w:szCs w:val="24"/>
          <w:highlight w:val="none"/>
        </w:rPr>
        <w:t>n</w:t>
      </w:r>
      <w:bookmarkEnd w:id="7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charging cable for FR2 MIMO OTA</w:t>
      </w:r>
    </w:p>
    <w:p w14:paraId="11B7221F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</w:rPr>
        <w:t>Approval</w:t>
      </w:r>
    </w:p>
    <w:p w14:paraId="4CE3F22E">
      <w:pPr>
        <w:pStyle w:val="2"/>
      </w:pPr>
      <w:r>
        <w:t>1</w:t>
      </w:r>
      <w:r>
        <w:tab/>
      </w:r>
      <w:r>
        <w:t>Introduction</w:t>
      </w:r>
      <w:bookmarkStart w:id="8" w:name="OLE_LINK4"/>
      <w:bookmarkStart w:id="9" w:name="OLE_LINK15"/>
    </w:p>
    <w:bookmarkEnd w:id="8"/>
    <w:bookmarkEnd w:id="9"/>
    <w:p w14:paraId="3A367AC0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</w:t>
      </w:r>
      <w:r>
        <w:t xml:space="preserve"> RAN5 #105</w:t>
      </w:r>
      <w:r>
        <w:rPr>
          <w:rFonts w:hint="eastAsia" w:eastAsia="宋体"/>
          <w:lang w:val="en-US" w:eastAsia="zh-CN"/>
        </w:rPr>
        <w:t xml:space="preserve"> meeting, it was agreed to identify the need for FR2 MIMO OTA testing with a charging cable in TS38.551 [1]. Given RAN4 has successfully complete the measurement campaign activity for FR2 MIMO OTA in Rel-18 phase, we provide our observations as aligned FR2 OTA labs in this contribution.</w:t>
      </w:r>
    </w:p>
    <w:p w14:paraId="5C61F8AE">
      <w:pPr>
        <w:rPr>
          <w:rFonts w:hint="eastAsia" w:eastAsiaTheme="minorEastAsia"/>
          <w:highlight w:val="none"/>
          <w:lang w:val="en-US" w:eastAsia="zh-CN"/>
        </w:rPr>
      </w:pPr>
      <w:r>
        <w:drawing>
          <wp:inline distT="0" distB="0" distL="114300" distR="114300">
            <wp:extent cx="6108065" cy="2512695"/>
            <wp:effectExtent l="9525" t="9525" r="1397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08065" cy="25126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C04DC75">
      <w:pPr>
        <w:pStyle w:val="2"/>
        <w:jc w:val="both"/>
        <w:rPr>
          <w:rFonts w:hint="default" w:eastAsia="宋体"/>
          <w:lang w:val="en-US"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bookmarkStart w:id="10" w:name="OLE_LINK3"/>
      <w:r>
        <w:rPr>
          <w:rFonts w:hint="eastAsia" w:eastAsia="宋体"/>
          <w:lang w:val="en-US" w:eastAsia="zh-CN"/>
        </w:rPr>
        <w:t>Observations</w:t>
      </w:r>
    </w:p>
    <w:p w14:paraId="1047FFE2">
      <w:pPr>
        <w:widowControl w:val="0"/>
        <w:overflowPunct/>
        <w:autoSpaceDE/>
        <w:autoSpaceDN/>
        <w:adjustRightInd/>
        <w:spacing w:before="156" w:beforeLines="50" w:after="156" w:afterLines="50"/>
        <w:jc w:val="both"/>
        <w:textAlignment w:val="auto"/>
        <w:rPr>
          <w:rFonts w:hint="default" w:eastAsiaTheme="minorEastAsia"/>
          <w:b/>
          <w:bCs w:val="0"/>
          <w:lang w:val="en-US" w:eastAsia="zh-CN"/>
        </w:rPr>
      </w:pPr>
      <w:r>
        <w:rPr>
          <w:rFonts w:hint="default" w:eastAsiaTheme="minorEastAsia"/>
          <w:b/>
          <w:bCs w:val="0"/>
          <w:lang w:val="en-US" w:eastAsia="zh-CN"/>
        </w:rPr>
        <w:t xml:space="preserve">2.1 </w:t>
      </w:r>
      <w:r>
        <w:rPr>
          <w:rFonts w:hint="eastAsia" w:eastAsiaTheme="minorEastAsia"/>
          <w:b/>
          <w:bCs w:val="0"/>
          <w:lang w:val="en-US" w:eastAsia="zh-CN"/>
        </w:rPr>
        <w:t>Number of test points</w:t>
      </w:r>
    </w:p>
    <w:p w14:paraId="3048C5C5">
      <w:pPr>
        <w:widowControl w:val="0"/>
        <w:overflowPunct/>
        <w:autoSpaceDE/>
        <w:autoSpaceDN/>
        <w:adjustRightInd/>
        <w:spacing w:before="156" w:beforeLines="50" w:after="156" w:afterLines="50"/>
        <w:jc w:val="both"/>
        <w:textAlignment w:val="auto"/>
        <w:rPr>
          <w:rFonts w:hint="eastAsia" w:eastAsiaTheme="minorEastAsia"/>
          <w:b w:val="0"/>
          <w:bCs/>
          <w:lang w:val="en-US" w:eastAsia="zh-CN"/>
        </w:rPr>
      </w:pPr>
      <w:r>
        <w:rPr>
          <w:rFonts w:hint="default" w:eastAsiaTheme="minorEastAsia"/>
          <w:b w:val="0"/>
          <w:bCs/>
          <w:lang w:val="en-US" w:eastAsia="zh-CN"/>
        </w:rPr>
        <w:t>The necessity of charging cables in OTA testing is inherently tied to test duration</w:t>
      </w:r>
      <w:r>
        <w:rPr>
          <w:rFonts w:hint="eastAsia" w:eastAsiaTheme="minorEastAsia"/>
          <w:b w:val="0"/>
          <w:bCs/>
          <w:lang w:val="en-US" w:eastAsia="zh-CN"/>
        </w:rPr>
        <w:t xml:space="preserve">. </w:t>
      </w:r>
      <w:r>
        <w:rPr>
          <w:rFonts w:hint="default" w:eastAsiaTheme="minorEastAsia"/>
          <w:b w:val="0"/>
          <w:bCs/>
          <w:lang w:val="en-US" w:eastAsia="zh-CN"/>
        </w:rPr>
        <w:t xml:space="preserve">Traditional </w:t>
      </w:r>
      <w:r>
        <w:rPr>
          <w:rFonts w:hint="eastAsia" w:eastAsiaTheme="minorEastAsia"/>
          <w:b w:val="0"/>
          <w:bCs/>
          <w:lang w:val="en-US" w:eastAsia="zh-CN"/>
        </w:rPr>
        <w:t xml:space="preserve">FR2 </w:t>
      </w:r>
      <w:r>
        <w:rPr>
          <w:rFonts w:hint="default" w:eastAsiaTheme="minorEastAsia"/>
          <w:b w:val="0"/>
          <w:bCs/>
          <w:lang w:val="en-US" w:eastAsia="zh-CN"/>
        </w:rPr>
        <w:t xml:space="preserve">SISO </w:t>
      </w:r>
      <w:r>
        <w:rPr>
          <w:rFonts w:hint="eastAsia" w:eastAsiaTheme="minorEastAsia"/>
          <w:b w:val="0"/>
          <w:bCs/>
          <w:lang w:val="en-US" w:eastAsia="zh-CN"/>
        </w:rPr>
        <w:t xml:space="preserve">TX/RX </w:t>
      </w:r>
      <w:r>
        <w:rPr>
          <w:rFonts w:hint="default" w:eastAsiaTheme="minorEastAsia"/>
          <w:b w:val="0"/>
          <w:bCs/>
          <w:lang w:val="en-US" w:eastAsia="zh-CN"/>
        </w:rPr>
        <w:t xml:space="preserve">beam peak search procedures require 1106 </w:t>
      </w:r>
      <w:r>
        <w:rPr>
          <w:rFonts w:hint="eastAsia" w:eastAsiaTheme="minorEastAsia"/>
          <w:b w:val="0"/>
          <w:bCs/>
          <w:lang w:val="en-US" w:eastAsia="zh-CN"/>
        </w:rPr>
        <w:t>test</w:t>
      </w:r>
      <w:r>
        <w:rPr>
          <w:rFonts w:hint="default" w:eastAsiaTheme="minorEastAsia"/>
          <w:b w:val="0"/>
          <w:bCs/>
          <w:lang w:val="en-US" w:eastAsia="zh-CN"/>
        </w:rPr>
        <w:t xml:space="preserve"> points, leading to extended test durations. Long term testing increases the risk of battery depletion, leading to practical discussions on the necessity of charging during testing.</w:t>
      </w:r>
      <w:r>
        <w:rPr>
          <w:rFonts w:hint="eastAsia" w:eastAsiaTheme="minorEastAsia"/>
          <w:b w:val="0"/>
          <w:bCs/>
          <w:lang w:val="en-US" w:eastAsia="zh-CN"/>
        </w:rPr>
        <w:t xml:space="preserve"> </w:t>
      </w:r>
      <w:r>
        <w:rPr>
          <w:rFonts w:hint="default" w:eastAsiaTheme="minorEastAsia"/>
          <w:b w:val="0"/>
          <w:bCs/>
          <w:lang w:val="en-US" w:eastAsia="zh-CN"/>
        </w:rPr>
        <w:t xml:space="preserve">By contrast, FR2 MIMO OTA methodologies required measurement points to </w:t>
      </w:r>
      <w:r>
        <w:rPr>
          <w:rFonts w:hint="eastAsia" w:eastAsiaTheme="minorEastAsia"/>
          <w:b w:val="0"/>
          <w:bCs/>
          <w:lang w:val="en-US" w:eastAsia="zh-CN"/>
        </w:rPr>
        <w:t xml:space="preserve">only </w:t>
      </w:r>
      <w:r>
        <w:rPr>
          <w:rFonts w:hint="default" w:eastAsiaTheme="minorEastAsia"/>
          <w:b w:val="0"/>
          <w:bCs/>
          <w:lang w:val="en-US" w:eastAsia="zh-CN"/>
        </w:rPr>
        <w:t xml:space="preserve">36, achieving a 97% reduction in </w:t>
      </w:r>
      <w:r>
        <w:rPr>
          <w:rFonts w:hint="eastAsia" w:eastAsiaTheme="minorEastAsia"/>
          <w:b w:val="0"/>
          <w:bCs/>
          <w:lang w:val="en-US" w:eastAsia="zh-CN"/>
        </w:rPr>
        <w:t>the number of test points</w:t>
      </w:r>
      <w:r>
        <w:rPr>
          <w:rFonts w:hint="default" w:eastAsiaTheme="minorEastAsia"/>
          <w:b w:val="0"/>
          <w:bCs/>
          <w:lang w:val="en-US" w:eastAsia="zh-CN"/>
        </w:rPr>
        <w:t xml:space="preserve">. This small number of testing points fundamentally reduces the risk of battery depletion, making charging cables </w:t>
      </w:r>
      <w:r>
        <w:rPr>
          <w:rFonts w:hint="eastAsia" w:eastAsiaTheme="minorEastAsia"/>
          <w:b w:val="0"/>
          <w:bCs/>
          <w:lang w:val="en-US" w:eastAsia="zh-CN"/>
        </w:rPr>
        <w:t>less necessary.</w:t>
      </w:r>
    </w:p>
    <w:p w14:paraId="2C85FE62">
      <w:pPr>
        <w:widowControl w:val="0"/>
        <w:overflowPunct/>
        <w:autoSpaceDE/>
        <w:autoSpaceDN/>
        <w:adjustRightInd/>
        <w:spacing w:before="156" w:beforeLines="50" w:after="156" w:afterLines="50"/>
        <w:jc w:val="both"/>
        <w:textAlignment w:val="auto"/>
        <w:rPr>
          <w:rFonts w:hint="default" w:eastAsiaTheme="minorEastAsia"/>
          <w:b/>
          <w:bCs w:val="0"/>
          <w:lang w:val="en-US" w:eastAsia="zh-CN"/>
        </w:rPr>
      </w:pPr>
      <w:r>
        <w:rPr>
          <w:rFonts w:hint="eastAsia" w:eastAsiaTheme="minorEastAsia"/>
          <w:b/>
          <w:bCs w:val="0"/>
          <w:lang w:val="en-US" w:eastAsia="zh-CN"/>
        </w:rPr>
        <w:t>Observation 1: Unlike the 1106 test points required for FR2 beam peak search, the FR2 MIMO OTA test only requires 36 test points, reducing the risk of battery depletion.</w:t>
      </w:r>
    </w:p>
    <w:p w14:paraId="3471F894">
      <w:pPr>
        <w:widowControl w:val="0"/>
        <w:overflowPunct/>
        <w:autoSpaceDE/>
        <w:autoSpaceDN/>
        <w:adjustRightInd/>
        <w:spacing w:before="156" w:beforeLines="50" w:after="156" w:afterLines="50"/>
        <w:jc w:val="both"/>
        <w:textAlignment w:val="auto"/>
        <w:rPr>
          <w:rFonts w:hint="default" w:eastAsiaTheme="minorEastAsia"/>
          <w:b/>
          <w:bCs w:val="0"/>
          <w:lang w:val="en-US" w:eastAsia="zh-CN"/>
        </w:rPr>
      </w:pPr>
      <w:r>
        <w:rPr>
          <w:rFonts w:hint="default" w:eastAsiaTheme="minorEastAsia"/>
          <w:b/>
          <w:bCs w:val="0"/>
          <w:lang w:val="en-US" w:eastAsia="zh-CN"/>
        </w:rPr>
        <w:t xml:space="preserve">2.2 RAN4 Rel-18 FR2 MIMO OTA </w:t>
      </w:r>
      <w:r>
        <w:rPr>
          <w:rFonts w:hint="eastAsia" w:eastAsiaTheme="minorEastAsia"/>
          <w:b/>
          <w:bCs w:val="0"/>
          <w:lang w:val="en-US" w:eastAsia="zh-CN"/>
        </w:rPr>
        <w:t xml:space="preserve">Measurement </w:t>
      </w:r>
      <w:r>
        <w:rPr>
          <w:rFonts w:hint="default" w:eastAsiaTheme="minorEastAsia"/>
          <w:b/>
          <w:bCs w:val="0"/>
          <w:lang w:val="en-US" w:eastAsia="zh-CN"/>
        </w:rPr>
        <w:t>Campaign</w:t>
      </w:r>
    </w:p>
    <w:p w14:paraId="417198B6">
      <w:pPr>
        <w:widowControl w:val="0"/>
        <w:overflowPunct/>
        <w:autoSpaceDE/>
        <w:autoSpaceDN/>
        <w:adjustRightInd/>
        <w:spacing w:before="156" w:beforeLines="50" w:after="156" w:afterLines="50"/>
        <w:jc w:val="both"/>
        <w:textAlignment w:val="auto"/>
        <w:rPr>
          <w:rFonts w:hint="default" w:eastAsiaTheme="minorEastAsia"/>
          <w:b w:val="0"/>
          <w:bCs/>
          <w:lang w:val="en-US" w:eastAsia="zh-CN"/>
        </w:rPr>
      </w:pPr>
      <w:r>
        <w:rPr>
          <w:rFonts w:hint="default" w:eastAsiaTheme="minorEastAsia"/>
          <w:b w:val="0"/>
          <w:bCs/>
          <w:lang w:val="en-US" w:eastAsia="zh-CN"/>
        </w:rPr>
        <w:t xml:space="preserve">The RAN4 Rel-18 FR2 MIMO OTA measurement campaign for band n261 has been successfully completed across aligned labs. As one of the aligned labs, our experience throughout the entire </w:t>
      </w:r>
      <w:r>
        <w:rPr>
          <w:rFonts w:hint="eastAsia" w:eastAsiaTheme="minorEastAsia"/>
          <w:b w:val="0"/>
          <w:bCs/>
          <w:lang w:val="en-US" w:eastAsia="zh-CN"/>
        </w:rPr>
        <w:t>lab alignment</w:t>
      </w:r>
      <w:r>
        <w:rPr>
          <w:rFonts w:hint="default" w:eastAsiaTheme="minorEastAsia"/>
          <w:b w:val="0"/>
          <w:bCs/>
          <w:lang w:val="en-US" w:eastAsia="zh-CN"/>
        </w:rPr>
        <w:t xml:space="preserve"> and measurement</w:t>
      </w:r>
      <w:r>
        <w:rPr>
          <w:rFonts w:hint="eastAsia" w:eastAsiaTheme="minorEastAsia"/>
          <w:b w:val="0"/>
          <w:bCs/>
          <w:lang w:val="en-US" w:eastAsia="zh-CN"/>
        </w:rPr>
        <w:t xml:space="preserve"> campaign</w:t>
      </w:r>
      <w:r>
        <w:rPr>
          <w:rFonts w:hint="default" w:eastAsiaTheme="minorEastAsia"/>
          <w:b w:val="0"/>
          <w:bCs/>
          <w:lang w:val="en-US" w:eastAsia="zh-CN"/>
        </w:rPr>
        <w:t xml:space="preserve"> activity phase is that as long as the FR2 </w:t>
      </w:r>
      <w:r>
        <w:rPr>
          <w:rFonts w:hint="eastAsia" w:eastAsiaTheme="minorEastAsia"/>
          <w:b w:val="0"/>
          <w:bCs/>
          <w:lang w:val="en-US" w:eastAsia="zh-CN"/>
        </w:rPr>
        <w:t>device</w:t>
      </w:r>
      <w:r>
        <w:rPr>
          <w:rFonts w:hint="default" w:eastAsiaTheme="minorEastAsia"/>
          <w:b w:val="0"/>
          <w:bCs/>
          <w:lang w:val="en-US" w:eastAsia="zh-CN"/>
        </w:rPr>
        <w:t xml:space="preserve"> is fully charged before testing, it can support the completion of a test case without the need for recharging during testing.</w:t>
      </w:r>
    </w:p>
    <w:p w14:paraId="3698A593">
      <w:pPr>
        <w:widowControl w:val="0"/>
        <w:overflowPunct/>
        <w:autoSpaceDE/>
        <w:autoSpaceDN/>
        <w:adjustRightInd/>
        <w:spacing w:before="156" w:beforeLines="50" w:after="156" w:afterLines="50"/>
        <w:jc w:val="both"/>
        <w:textAlignment w:val="auto"/>
        <w:rPr>
          <w:rFonts w:hint="default" w:eastAsiaTheme="minorEastAsia"/>
          <w:b w:val="0"/>
          <w:bCs/>
          <w:lang w:val="en-US" w:eastAsia="zh-CN"/>
        </w:rPr>
      </w:pPr>
      <w:r>
        <w:rPr>
          <w:rFonts w:hint="default" w:eastAsiaTheme="minorEastAsia"/>
          <w:b w:val="0"/>
          <w:bCs/>
          <w:lang w:val="en-US" w:eastAsia="zh-CN"/>
        </w:rPr>
        <w:t>Offline discussions with other aligned labs confirm this observation aligns with their experiences, indicating consistent device energy sustainability under standardized test durations.</w:t>
      </w:r>
    </w:p>
    <w:p w14:paraId="4795F6CE">
      <w:pPr>
        <w:widowControl w:val="0"/>
        <w:overflowPunct/>
        <w:autoSpaceDE/>
        <w:autoSpaceDN/>
        <w:adjustRightInd/>
        <w:spacing w:before="156" w:beforeLines="50" w:after="156" w:afterLines="50"/>
        <w:jc w:val="both"/>
        <w:textAlignment w:val="auto"/>
        <w:rPr>
          <w:rFonts w:hint="default" w:eastAsiaTheme="minorEastAsia"/>
          <w:b/>
          <w:bCs w:val="0"/>
          <w:lang w:val="en-US" w:eastAsia="zh-CN"/>
        </w:rPr>
      </w:pPr>
      <w:r>
        <w:rPr>
          <w:rFonts w:hint="default" w:eastAsiaTheme="minorEastAsia"/>
          <w:b/>
          <w:bCs w:val="0"/>
          <w:lang w:val="en-US" w:eastAsia="zh-CN"/>
        </w:rPr>
        <w:t xml:space="preserve">Observation 2: Pre-test full charging suffices for FR2 MIMO OTA </w:t>
      </w:r>
      <w:r>
        <w:rPr>
          <w:rFonts w:hint="eastAsia" w:eastAsiaTheme="minorEastAsia"/>
          <w:b/>
          <w:bCs w:val="0"/>
          <w:lang w:val="en-US" w:eastAsia="zh-CN"/>
        </w:rPr>
        <w:t>test</w:t>
      </w:r>
      <w:r>
        <w:rPr>
          <w:rFonts w:hint="default" w:eastAsiaTheme="minorEastAsia"/>
          <w:b/>
          <w:bCs w:val="0"/>
          <w:lang w:val="en-US" w:eastAsia="zh-CN"/>
        </w:rPr>
        <w:t>, with no observed need for mid-test recharging across aligned laboratories</w:t>
      </w:r>
      <w:r>
        <w:rPr>
          <w:rFonts w:hint="eastAsia" w:eastAsiaTheme="minorEastAsia"/>
          <w:b/>
          <w:bCs w:val="0"/>
          <w:lang w:val="en-US" w:eastAsia="zh-CN"/>
        </w:rPr>
        <w:t xml:space="preserve"> during lab alignment</w:t>
      </w:r>
      <w:r>
        <w:rPr>
          <w:rFonts w:hint="default" w:eastAsiaTheme="minorEastAsia"/>
          <w:b/>
          <w:bCs w:val="0"/>
          <w:lang w:val="en-US" w:eastAsia="zh-CN"/>
        </w:rPr>
        <w:t xml:space="preserve"> and measurement</w:t>
      </w:r>
      <w:r>
        <w:rPr>
          <w:rFonts w:hint="eastAsia" w:eastAsiaTheme="minorEastAsia"/>
          <w:b/>
          <w:bCs w:val="0"/>
          <w:lang w:val="en-US" w:eastAsia="zh-CN"/>
        </w:rPr>
        <w:t xml:space="preserve"> campaign activity</w:t>
      </w:r>
      <w:r>
        <w:rPr>
          <w:rFonts w:hint="default" w:eastAsiaTheme="minorEastAsia"/>
          <w:b/>
          <w:bCs w:val="0"/>
          <w:lang w:val="en-US" w:eastAsia="zh-CN"/>
        </w:rPr>
        <w:t>.</w:t>
      </w:r>
    </w:p>
    <w:p w14:paraId="78720DC5">
      <w:pPr>
        <w:widowControl w:val="0"/>
        <w:overflowPunct/>
        <w:autoSpaceDE/>
        <w:autoSpaceDN/>
        <w:adjustRightInd/>
        <w:spacing w:before="156" w:beforeLines="50" w:after="156" w:afterLines="50"/>
        <w:jc w:val="both"/>
        <w:textAlignment w:val="auto"/>
        <w:rPr>
          <w:rFonts w:hint="default" w:eastAsia="宋体"/>
          <w:b/>
          <w:bCs w:val="0"/>
          <w:lang w:val="en-US" w:eastAsia="zh-CN"/>
        </w:rPr>
      </w:pPr>
      <w:r>
        <w:rPr>
          <w:rFonts w:hint="default" w:eastAsiaTheme="minorEastAsia"/>
          <w:b/>
          <w:bCs w:val="0"/>
          <w:lang w:val="en-US" w:eastAsia="zh-CN"/>
        </w:rPr>
        <w:t>Proposal</w:t>
      </w:r>
      <w:r>
        <w:rPr>
          <w:rFonts w:hint="eastAsia" w:eastAsiaTheme="minorEastAsia"/>
          <w:b/>
          <w:bCs w:val="0"/>
          <w:lang w:val="en-US" w:eastAsia="zh-CN"/>
        </w:rPr>
        <w:t xml:space="preserve"> 1:</w:t>
      </w:r>
      <w:r>
        <w:rPr>
          <w:rFonts w:hint="eastAsia" w:eastAsiaTheme="minorEastAsia"/>
          <w:b/>
          <w:bCs w:val="0"/>
          <w:lang w:val="en-US" w:eastAsia="zh-CN"/>
        </w:rPr>
        <w:t xml:space="preserve"> </w:t>
      </w:r>
      <w:r>
        <w:rPr>
          <w:rFonts w:hint="default" w:eastAsia="宋体"/>
          <w:b/>
          <w:bCs w:val="0"/>
          <w:lang w:val="en-US" w:eastAsia="zh-CN"/>
        </w:rPr>
        <w:t xml:space="preserve">Take the above observations into account when </w:t>
      </w:r>
      <w:r>
        <w:rPr>
          <w:rFonts w:hint="eastAsia" w:eastAsia="宋体"/>
          <w:b/>
          <w:bCs w:val="0"/>
          <w:lang w:val="en-US" w:eastAsia="zh-CN"/>
        </w:rPr>
        <w:t>identifying</w:t>
      </w:r>
      <w:r>
        <w:rPr>
          <w:rFonts w:hint="default" w:eastAsia="宋体"/>
          <w:b/>
          <w:bCs w:val="0"/>
          <w:lang w:val="en-US" w:eastAsia="zh-CN"/>
        </w:rPr>
        <w:t xml:space="preserve"> the necessity of using a charging cable for FR2 MIMO OTA testing, ensuring that the specific conditions and potential impacts on test accuracy are carefully evaluated.</w:t>
      </w:r>
    </w:p>
    <w:bookmarkEnd w:id="10"/>
    <w:p w14:paraId="1CF59D43">
      <w:pPr>
        <w:pStyle w:val="2"/>
        <w:rPr>
          <w:rFonts w:eastAsia="宋体"/>
          <w:lang w:eastAsia="zh-CN"/>
        </w:rPr>
      </w:pPr>
      <w:r>
        <w:t>3</w:t>
      </w:r>
      <w:r>
        <w:tab/>
      </w:r>
      <w:r>
        <w:rPr>
          <w:rFonts w:hint="eastAsia" w:eastAsia="宋体"/>
          <w:lang w:eastAsia="zh-CN"/>
        </w:rPr>
        <w:t>Conclusion</w:t>
      </w:r>
    </w:p>
    <w:p w14:paraId="2D368AE8">
      <w:pPr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This contribution makes the following observations and proposals.</w:t>
      </w:r>
    </w:p>
    <w:p w14:paraId="137BB79A">
      <w:pPr>
        <w:widowControl w:val="0"/>
        <w:overflowPunct/>
        <w:autoSpaceDE/>
        <w:autoSpaceDN/>
        <w:adjustRightInd/>
        <w:spacing w:before="156" w:beforeLines="50" w:after="156" w:afterLines="50"/>
        <w:jc w:val="both"/>
        <w:textAlignment w:val="auto"/>
        <w:rPr>
          <w:rFonts w:hint="eastAsia" w:eastAsiaTheme="minorEastAsia"/>
          <w:b/>
          <w:bCs w:val="0"/>
          <w:lang w:val="en-US" w:eastAsia="zh-CN"/>
        </w:rPr>
      </w:pPr>
      <w:r>
        <w:rPr>
          <w:rFonts w:hint="eastAsia" w:eastAsiaTheme="minorEastAsia"/>
          <w:b/>
          <w:bCs w:val="0"/>
          <w:lang w:val="en-US" w:eastAsia="zh-CN"/>
        </w:rPr>
        <w:t>Observation 1: Unlike the 1106 test points required for FR2 beam peak search, the FR2 MIMO OTA test only requires 36 test points, reducing the risk of battery depletion.</w:t>
      </w:r>
    </w:p>
    <w:p w14:paraId="5567C27E">
      <w:pPr>
        <w:widowControl w:val="0"/>
        <w:overflowPunct/>
        <w:autoSpaceDE/>
        <w:autoSpaceDN/>
        <w:adjustRightInd/>
        <w:spacing w:before="156" w:beforeLines="50" w:after="156" w:afterLines="50"/>
        <w:jc w:val="both"/>
        <w:textAlignment w:val="auto"/>
        <w:rPr>
          <w:rFonts w:hint="default" w:eastAsiaTheme="minorEastAsia"/>
          <w:b/>
          <w:bCs w:val="0"/>
          <w:lang w:val="en-US" w:eastAsia="zh-CN"/>
        </w:rPr>
      </w:pPr>
      <w:r>
        <w:rPr>
          <w:rFonts w:hint="default" w:eastAsiaTheme="minorEastAsia"/>
          <w:b/>
          <w:bCs w:val="0"/>
          <w:lang w:val="en-US" w:eastAsia="zh-CN"/>
        </w:rPr>
        <w:t xml:space="preserve">Observation 2: Pre-test full charging suffices for FR2 MIMO OTA </w:t>
      </w:r>
      <w:r>
        <w:rPr>
          <w:rFonts w:hint="eastAsia" w:eastAsiaTheme="minorEastAsia"/>
          <w:b/>
          <w:bCs w:val="0"/>
          <w:lang w:val="en-US" w:eastAsia="zh-CN"/>
        </w:rPr>
        <w:t>test</w:t>
      </w:r>
      <w:r>
        <w:rPr>
          <w:rFonts w:hint="default" w:eastAsiaTheme="minorEastAsia"/>
          <w:b/>
          <w:bCs w:val="0"/>
          <w:lang w:val="en-US" w:eastAsia="zh-CN"/>
        </w:rPr>
        <w:t>, with no observed need for mid-test recharging across aligned laboratories</w:t>
      </w:r>
      <w:r>
        <w:rPr>
          <w:rFonts w:hint="eastAsia" w:eastAsiaTheme="minorEastAsia"/>
          <w:b/>
          <w:bCs w:val="0"/>
          <w:lang w:val="en-US" w:eastAsia="zh-CN"/>
        </w:rPr>
        <w:t xml:space="preserve"> during lab alignment</w:t>
      </w:r>
      <w:r>
        <w:rPr>
          <w:rFonts w:hint="default" w:eastAsiaTheme="minorEastAsia"/>
          <w:b/>
          <w:bCs w:val="0"/>
          <w:lang w:val="en-US" w:eastAsia="zh-CN"/>
        </w:rPr>
        <w:t xml:space="preserve"> and measurement</w:t>
      </w:r>
      <w:r>
        <w:rPr>
          <w:rFonts w:hint="eastAsia" w:eastAsiaTheme="minorEastAsia"/>
          <w:b/>
          <w:bCs w:val="0"/>
          <w:lang w:val="en-US" w:eastAsia="zh-CN"/>
        </w:rPr>
        <w:t xml:space="preserve"> campaign activity</w:t>
      </w:r>
      <w:r>
        <w:rPr>
          <w:rFonts w:hint="default" w:eastAsiaTheme="minorEastAsia"/>
          <w:b/>
          <w:bCs w:val="0"/>
          <w:lang w:val="en-US" w:eastAsia="zh-CN"/>
        </w:rPr>
        <w:t>.</w:t>
      </w:r>
    </w:p>
    <w:p w14:paraId="3EDE2272">
      <w:pPr>
        <w:widowControl w:val="0"/>
        <w:overflowPunct/>
        <w:autoSpaceDE/>
        <w:autoSpaceDN/>
        <w:adjustRightInd/>
        <w:spacing w:before="156" w:beforeLines="50" w:after="156" w:afterLines="50"/>
        <w:jc w:val="both"/>
        <w:textAlignment w:val="auto"/>
        <w:rPr>
          <w:rFonts w:hint="default" w:eastAsiaTheme="minorEastAsia"/>
          <w:b/>
          <w:bCs w:val="0"/>
          <w:lang w:val="en-US" w:eastAsia="zh-CN"/>
        </w:rPr>
      </w:pPr>
      <w:r>
        <w:rPr>
          <w:rFonts w:hint="default" w:eastAsiaTheme="minorEastAsia"/>
          <w:b/>
          <w:bCs w:val="0"/>
          <w:lang w:val="en-US" w:eastAsia="zh-CN"/>
        </w:rPr>
        <w:t>Proposal</w:t>
      </w:r>
      <w:r>
        <w:rPr>
          <w:rFonts w:hint="eastAsia" w:eastAsiaTheme="minorEastAsia"/>
          <w:b/>
          <w:bCs w:val="0"/>
          <w:lang w:val="en-US" w:eastAsia="zh-CN"/>
        </w:rPr>
        <w:t xml:space="preserve"> 1: </w:t>
      </w:r>
      <w:r>
        <w:rPr>
          <w:rFonts w:hint="default" w:eastAsia="宋体"/>
          <w:b/>
          <w:bCs w:val="0"/>
          <w:lang w:val="en-US" w:eastAsia="zh-CN"/>
        </w:rPr>
        <w:t xml:space="preserve">Take the above observations into account when </w:t>
      </w:r>
      <w:r>
        <w:rPr>
          <w:rFonts w:hint="eastAsia" w:eastAsia="宋体"/>
          <w:b/>
          <w:bCs w:val="0"/>
          <w:lang w:val="en-US" w:eastAsia="zh-CN"/>
        </w:rPr>
        <w:t>identifying</w:t>
      </w:r>
      <w:r>
        <w:rPr>
          <w:rFonts w:hint="default" w:eastAsia="宋体"/>
          <w:b/>
          <w:bCs w:val="0"/>
          <w:lang w:val="en-US" w:eastAsia="zh-CN"/>
        </w:rPr>
        <w:t xml:space="preserve"> the necessity of using a charging cable for FR2 MIMO OTA testing, ensuring that the specific conditions and potential impacts on test accuracy are carefully evaluated.</w:t>
      </w:r>
    </w:p>
    <w:p w14:paraId="5EEE4E53">
      <w:pPr>
        <w:pStyle w:val="2"/>
        <w:ind w:left="0" w:firstLine="0"/>
      </w:pPr>
      <w:r>
        <w:t>References</w:t>
      </w:r>
    </w:p>
    <w:bookmarkEnd w:id="1"/>
    <w:bookmarkEnd w:id="2"/>
    <w:bookmarkEnd w:id="3"/>
    <w:p w14:paraId="344FD3DB">
      <w:pPr>
        <w:widowControl w:val="0"/>
        <w:numPr>
          <w:ilvl w:val="0"/>
          <w:numId w:val="1"/>
        </w:numPr>
        <w:tabs>
          <w:tab w:val="left" w:pos="440"/>
          <w:tab w:val="clear" w:pos="420"/>
        </w:tabs>
        <w:spacing w:before="120" w:after="120"/>
        <w:jc w:val="both"/>
        <w:rPr>
          <w:bCs/>
          <w:lang w:val="en-US"/>
        </w:rPr>
      </w:pPr>
      <w:r>
        <w:rPr>
          <w:bCs/>
          <w:lang w:val="de-DE"/>
        </w:rPr>
        <w:t xml:space="preserve">R5-248007, </w:t>
      </w:r>
      <w:r>
        <w:rPr>
          <w:bCs/>
        </w:rPr>
        <w:t>Charging Cable Verification Procedure, Keysight Technologies UK Ltd, ETS-Lindgren</w:t>
      </w:r>
      <w:r>
        <w:rPr>
          <w:bCs/>
          <w:lang w:val="de-DE"/>
        </w:rPr>
        <w:t xml:space="preserve">  </w:t>
      </w:r>
    </w:p>
    <w:p w14:paraId="1E486152">
      <w:pPr>
        <w:pStyle w:val="42"/>
        <w:numPr>
          <w:ilvl w:val="0"/>
          <w:numId w:val="0"/>
        </w:numPr>
        <w:ind w:leftChars="0"/>
        <w:rPr>
          <w:rFonts w:hint="eastAsia" w:eastAsia="Malgun Gothic"/>
          <w:sz w:val="20"/>
          <w:szCs w:val="20"/>
          <w:lang w:val="en-US" w:eastAsia="zh-CN"/>
        </w:rPr>
      </w:pPr>
    </w:p>
    <w:sectPr>
      <w:pgSz w:w="11906" w:h="16838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Roboto Condensed">
    <w:altName w:val="Segoe Print"/>
    <w:panose1 w:val="00000000000000000000"/>
    <w:charset w:val="00"/>
    <w:family w:val="auto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250011"/>
    <w:multiLevelType w:val="multilevel"/>
    <w:tmpl w:val="1F250011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7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4MjljY2YzMDI1NGE4ZjYxYjczNDgxZmJjYzMzMTQifQ=="/>
    <w:docVar w:name="KSO_WPS_MARK_KEY" w:val="23e3b8a1-c4b5-469e-96e7-0fe0aad97dfa"/>
  </w:docVars>
  <w:rsids>
    <w:rsidRoot w:val="004602EC"/>
    <w:rsid w:val="00001874"/>
    <w:rsid w:val="000031CA"/>
    <w:rsid w:val="0000488F"/>
    <w:rsid w:val="00012FEE"/>
    <w:rsid w:val="0002184D"/>
    <w:rsid w:val="00025ED3"/>
    <w:rsid w:val="00031404"/>
    <w:rsid w:val="00032345"/>
    <w:rsid w:val="00033A5D"/>
    <w:rsid w:val="00041C73"/>
    <w:rsid w:val="000435A7"/>
    <w:rsid w:val="0004683A"/>
    <w:rsid w:val="00050C36"/>
    <w:rsid w:val="00053FC7"/>
    <w:rsid w:val="00064957"/>
    <w:rsid w:val="00067F95"/>
    <w:rsid w:val="000716C2"/>
    <w:rsid w:val="00072F25"/>
    <w:rsid w:val="00074554"/>
    <w:rsid w:val="00075BD1"/>
    <w:rsid w:val="00084F7F"/>
    <w:rsid w:val="00090E94"/>
    <w:rsid w:val="000964E7"/>
    <w:rsid w:val="000A0775"/>
    <w:rsid w:val="000A2233"/>
    <w:rsid w:val="000A7686"/>
    <w:rsid w:val="000B5858"/>
    <w:rsid w:val="000C1100"/>
    <w:rsid w:val="000C2DEB"/>
    <w:rsid w:val="000C65C1"/>
    <w:rsid w:val="000D1056"/>
    <w:rsid w:val="000D362A"/>
    <w:rsid w:val="000D59C0"/>
    <w:rsid w:val="000E28E8"/>
    <w:rsid w:val="000F0044"/>
    <w:rsid w:val="000F3E72"/>
    <w:rsid w:val="001000AF"/>
    <w:rsid w:val="00100503"/>
    <w:rsid w:val="0010439D"/>
    <w:rsid w:val="001225F6"/>
    <w:rsid w:val="00141BF1"/>
    <w:rsid w:val="00144123"/>
    <w:rsid w:val="00151501"/>
    <w:rsid w:val="00156BDE"/>
    <w:rsid w:val="0016273C"/>
    <w:rsid w:val="0017092D"/>
    <w:rsid w:val="00171AE5"/>
    <w:rsid w:val="0017229F"/>
    <w:rsid w:val="0017301E"/>
    <w:rsid w:val="00174A6C"/>
    <w:rsid w:val="0018719D"/>
    <w:rsid w:val="001A0504"/>
    <w:rsid w:val="001A13BD"/>
    <w:rsid w:val="001A31E8"/>
    <w:rsid w:val="001A4FDB"/>
    <w:rsid w:val="001A6522"/>
    <w:rsid w:val="001A7715"/>
    <w:rsid w:val="001B1FFA"/>
    <w:rsid w:val="001B2F4D"/>
    <w:rsid w:val="001B7F80"/>
    <w:rsid w:val="001D0CF9"/>
    <w:rsid w:val="001D73F4"/>
    <w:rsid w:val="001F268F"/>
    <w:rsid w:val="001F301B"/>
    <w:rsid w:val="002065BE"/>
    <w:rsid w:val="002119D0"/>
    <w:rsid w:val="002120CF"/>
    <w:rsid w:val="002126DF"/>
    <w:rsid w:val="0021327A"/>
    <w:rsid w:val="00232A3A"/>
    <w:rsid w:val="00235E80"/>
    <w:rsid w:val="00237655"/>
    <w:rsid w:val="002466E6"/>
    <w:rsid w:val="0025118E"/>
    <w:rsid w:val="00253104"/>
    <w:rsid w:val="00254A3E"/>
    <w:rsid w:val="0025623D"/>
    <w:rsid w:val="00273899"/>
    <w:rsid w:val="002771F0"/>
    <w:rsid w:val="00283EEB"/>
    <w:rsid w:val="00284F05"/>
    <w:rsid w:val="00291198"/>
    <w:rsid w:val="00296956"/>
    <w:rsid w:val="002A0710"/>
    <w:rsid w:val="002A2DBB"/>
    <w:rsid w:val="002B23F3"/>
    <w:rsid w:val="002B7027"/>
    <w:rsid w:val="002B773B"/>
    <w:rsid w:val="002C05CA"/>
    <w:rsid w:val="002C214A"/>
    <w:rsid w:val="002C7400"/>
    <w:rsid w:val="002D33AE"/>
    <w:rsid w:val="002D7C5D"/>
    <w:rsid w:val="002E562F"/>
    <w:rsid w:val="002E7254"/>
    <w:rsid w:val="002E735F"/>
    <w:rsid w:val="0030063D"/>
    <w:rsid w:val="00301C2E"/>
    <w:rsid w:val="00303E7F"/>
    <w:rsid w:val="00304F07"/>
    <w:rsid w:val="0030642F"/>
    <w:rsid w:val="00324F6C"/>
    <w:rsid w:val="003337C0"/>
    <w:rsid w:val="0033422E"/>
    <w:rsid w:val="00334B69"/>
    <w:rsid w:val="003363D8"/>
    <w:rsid w:val="0034509D"/>
    <w:rsid w:val="00346573"/>
    <w:rsid w:val="00352079"/>
    <w:rsid w:val="00360871"/>
    <w:rsid w:val="00362343"/>
    <w:rsid w:val="003667CC"/>
    <w:rsid w:val="00374E84"/>
    <w:rsid w:val="003752D5"/>
    <w:rsid w:val="00376F87"/>
    <w:rsid w:val="003777F7"/>
    <w:rsid w:val="003778C3"/>
    <w:rsid w:val="00391F24"/>
    <w:rsid w:val="0039780B"/>
    <w:rsid w:val="003A07AB"/>
    <w:rsid w:val="003A26B0"/>
    <w:rsid w:val="003A54A1"/>
    <w:rsid w:val="003B1667"/>
    <w:rsid w:val="003E3026"/>
    <w:rsid w:val="003E3E59"/>
    <w:rsid w:val="003E6418"/>
    <w:rsid w:val="003F2BF5"/>
    <w:rsid w:val="00413E93"/>
    <w:rsid w:val="00415CDF"/>
    <w:rsid w:val="00415E36"/>
    <w:rsid w:val="00420E3E"/>
    <w:rsid w:val="00422143"/>
    <w:rsid w:val="00430BAC"/>
    <w:rsid w:val="004361BC"/>
    <w:rsid w:val="0044202D"/>
    <w:rsid w:val="00451F93"/>
    <w:rsid w:val="00451FF9"/>
    <w:rsid w:val="00454687"/>
    <w:rsid w:val="004602EC"/>
    <w:rsid w:val="00477307"/>
    <w:rsid w:val="00493AAB"/>
    <w:rsid w:val="00495278"/>
    <w:rsid w:val="004A693A"/>
    <w:rsid w:val="004B4774"/>
    <w:rsid w:val="004B75D9"/>
    <w:rsid w:val="004B7DF9"/>
    <w:rsid w:val="004C49CD"/>
    <w:rsid w:val="004C4FAD"/>
    <w:rsid w:val="004C7B61"/>
    <w:rsid w:val="004D04D1"/>
    <w:rsid w:val="004D085D"/>
    <w:rsid w:val="004E74C7"/>
    <w:rsid w:val="004F3D35"/>
    <w:rsid w:val="004F71B3"/>
    <w:rsid w:val="004F73AD"/>
    <w:rsid w:val="0050018C"/>
    <w:rsid w:val="00506A22"/>
    <w:rsid w:val="0050790C"/>
    <w:rsid w:val="005164B6"/>
    <w:rsid w:val="00522A83"/>
    <w:rsid w:val="00524A17"/>
    <w:rsid w:val="00530EB1"/>
    <w:rsid w:val="00541302"/>
    <w:rsid w:val="00542FA2"/>
    <w:rsid w:val="00546426"/>
    <w:rsid w:val="005531D9"/>
    <w:rsid w:val="00555D67"/>
    <w:rsid w:val="00556899"/>
    <w:rsid w:val="0056006F"/>
    <w:rsid w:val="00564887"/>
    <w:rsid w:val="00577049"/>
    <w:rsid w:val="00577EBD"/>
    <w:rsid w:val="0058296D"/>
    <w:rsid w:val="005859C3"/>
    <w:rsid w:val="0059447C"/>
    <w:rsid w:val="005B27AF"/>
    <w:rsid w:val="005E1A39"/>
    <w:rsid w:val="005F4EBD"/>
    <w:rsid w:val="005F6D46"/>
    <w:rsid w:val="0060177A"/>
    <w:rsid w:val="0060186C"/>
    <w:rsid w:val="006079A2"/>
    <w:rsid w:val="00614A0F"/>
    <w:rsid w:val="00616F03"/>
    <w:rsid w:val="0061761F"/>
    <w:rsid w:val="00622125"/>
    <w:rsid w:val="00624CB3"/>
    <w:rsid w:val="0062664E"/>
    <w:rsid w:val="00630879"/>
    <w:rsid w:val="00630A72"/>
    <w:rsid w:val="0063320D"/>
    <w:rsid w:val="00635045"/>
    <w:rsid w:val="00637645"/>
    <w:rsid w:val="00645DC2"/>
    <w:rsid w:val="0065334F"/>
    <w:rsid w:val="00653A16"/>
    <w:rsid w:val="00662EC0"/>
    <w:rsid w:val="00664FCB"/>
    <w:rsid w:val="00666D5E"/>
    <w:rsid w:val="00677EDF"/>
    <w:rsid w:val="006825EC"/>
    <w:rsid w:val="00682F51"/>
    <w:rsid w:val="00682FC1"/>
    <w:rsid w:val="00683853"/>
    <w:rsid w:val="006841C0"/>
    <w:rsid w:val="0068536F"/>
    <w:rsid w:val="00687123"/>
    <w:rsid w:val="006909E4"/>
    <w:rsid w:val="00691B70"/>
    <w:rsid w:val="00695534"/>
    <w:rsid w:val="006A290F"/>
    <w:rsid w:val="006A4376"/>
    <w:rsid w:val="006A74EB"/>
    <w:rsid w:val="006B2927"/>
    <w:rsid w:val="006B29EA"/>
    <w:rsid w:val="006B2F5F"/>
    <w:rsid w:val="006B6E9E"/>
    <w:rsid w:val="006C1F95"/>
    <w:rsid w:val="006C4237"/>
    <w:rsid w:val="006D12A9"/>
    <w:rsid w:val="006E73F6"/>
    <w:rsid w:val="006F6ED1"/>
    <w:rsid w:val="00705BEE"/>
    <w:rsid w:val="007060DC"/>
    <w:rsid w:val="00707BF3"/>
    <w:rsid w:val="00712AD1"/>
    <w:rsid w:val="00714B51"/>
    <w:rsid w:val="00723368"/>
    <w:rsid w:val="0073076F"/>
    <w:rsid w:val="0073092F"/>
    <w:rsid w:val="007364D2"/>
    <w:rsid w:val="007458DE"/>
    <w:rsid w:val="00750529"/>
    <w:rsid w:val="0075367C"/>
    <w:rsid w:val="00761F45"/>
    <w:rsid w:val="007702CD"/>
    <w:rsid w:val="0077796A"/>
    <w:rsid w:val="00783B45"/>
    <w:rsid w:val="00784BF9"/>
    <w:rsid w:val="007901E0"/>
    <w:rsid w:val="007A2A2C"/>
    <w:rsid w:val="007A587E"/>
    <w:rsid w:val="007B0485"/>
    <w:rsid w:val="007B0711"/>
    <w:rsid w:val="007B3929"/>
    <w:rsid w:val="007B7157"/>
    <w:rsid w:val="007B763D"/>
    <w:rsid w:val="007C1BED"/>
    <w:rsid w:val="007C1F25"/>
    <w:rsid w:val="007C23FA"/>
    <w:rsid w:val="007C259F"/>
    <w:rsid w:val="007C2E12"/>
    <w:rsid w:val="007D35B8"/>
    <w:rsid w:val="007F33E8"/>
    <w:rsid w:val="007F5719"/>
    <w:rsid w:val="007F621B"/>
    <w:rsid w:val="00814100"/>
    <w:rsid w:val="008176B8"/>
    <w:rsid w:val="00820D1D"/>
    <w:rsid w:val="00820D79"/>
    <w:rsid w:val="008435D0"/>
    <w:rsid w:val="0084640C"/>
    <w:rsid w:val="00861A4E"/>
    <w:rsid w:val="00862D16"/>
    <w:rsid w:val="008663E0"/>
    <w:rsid w:val="008667B3"/>
    <w:rsid w:val="00867EB3"/>
    <w:rsid w:val="00867FFB"/>
    <w:rsid w:val="008764B3"/>
    <w:rsid w:val="0088309E"/>
    <w:rsid w:val="008948AC"/>
    <w:rsid w:val="008973D0"/>
    <w:rsid w:val="008B0CF9"/>
    <w:rsid w:val="008B61B0"/>
    <w:rsid w:val="008D4DFB"/>
    <w:rsid w:val="008F11B8"/>
    <w:rsid w:val="00902D98"/>
    <w:rsid w:val="00902EC7"/>
    <w:rsid w:val="009042CF"/>
    <w:rsid w:val="009047DA"/>
    <w:rsid w:val="00912105"/>
    <w:rsid w:val="0091378B"/>
    <w:rsid w:val="0092371F"/>
    <w:rsid w:val="00925DD3"/>
    <w:rsid w:val="00926C05"/>
    <w:rsid w:val="009323D9"/>
    <w:rsid w:val="009326BC"/>
    <w:rsid w:val="00940F7E"/>
    <w:rsid w:val="00941732"/>
    <w:rsid w:val="00952E01"/>
    <w:rsid w:val="00960331"/>
    <w:rsid w:val="0096218E"/>
    <w:rsid w:val="00965A9D"/>
    <w:rsid w:val="00971EF6"/>
    <w:rsid w:val="009744A5"/>
    <w:rsid w:val="00975529"/>
    <w:rsid w:val="00975937"/>
    <w:rsid w:val="00975AF0"/>
    <w:rsid w:val="00981D79"/>
    <w:rsid w:val="00983AC1"/>
    <w:rsid w:val="00986CF4"/>
    <w:rsid w:val="009901B4"/>
    <w:rsid w:val="009910ED"/>
    <w:rsid w:val="009943F7"/>
    <w:rsid w:val="00995A64"/>
    <w:rsid w:val="009A013E"/>
    <w:rsid w:val="009A0198"/>
    <w:rsid w:val="009A1D83"/>
    <w:rsid w:val="009B09EF"/>
    <w:rsid w:val="009B3A72"/>
    <w:rsid w:val="009D5C85"/>
    <w:rsid w:val="009D720A"/>
    <w:rsid w:val="009E2EAA"/>
    <w:rsid w:val="009F5CB3"/>
    <w:rsid w:val="009F6F0E"/>
    <w:rsid w:val="00A1119C"/>
    <w:rsid w:val="00A16C93"/>
    <w:rsid w:val="00A17370"/>
    <w:rsid w:val="00A23701"/>
    <w:rsid w:val="00A318B7"/>
    <w:rsid w:val="00A411BC"/>
    <w:rsid w:val="00A51E72"/>
    <w:rsid w:val="00A52B0B"/>
    <w:rsid w:val="00A562D4"/>
    <w:rsid w:val="00A569F2"/>
    <w:rsid w:val="00A6190B"/>
    <w:rsid w:val="00A70DC6"/>
    <w:rsid w:val="00A7332D"/>
    <w:rsid w:val="00A76F60"/>
    <w:rsid w:val="00A82246"/>
    <w:rsid w:val="00AA1FD9"/>
    <w:rsid w:val="00AA3448"/>
    <w:rsid w:val="00AB0796"/>
    <w:rsid w:val="00AB4B16"/>
    <w:rsid w:val="00AC438B"/>
    <w:rsid w:val="00AC5500"/>
    <w:rsid w:val="00AD1848"/>
    <w:rsid w:val="00AF186B"/>
    <w:rsid w:val="00AF5184"/>
    <w:rsid w:val="00AF6434"/>
    <w:rsid w:val="00B0279E"/>
    <w:rsid w:val="00B04297"/>
    <w:rsid w:val="00B06C06"/>
    <w:rsid w:val="00B11AA1"/>
    <w:rsid w:val="00B243CE"/>
    <w:rsid w:val="00B31185"/>
    <w:rsid w:val="00B31885"/>
    <w:rsid w:val="00B318BA"/>
    <w:rsid w:val="00B3283A"/>
    <w:rsid w:val="00B32C8F"/>
    <w:rsid w:val="00B35B4D"/>
    <w:rsid w:val="00B36822"/>
    <w:rsid w:val="00B5148D"/>
    <w:rsid w:val="00B55E72"/>
    <w:rsid w:val="00B56535"/>
    <w:rsid w:val="00B65977"/>
    <w:rsid w:val="00B67C47"/>
    <w:rsid w:val="00B701EC"/>
    <w:rsid w:val="00B75097"/>
    <w:rsid w:val="00B76E3D"/>
    <w:rsid w:val="00B801B0"/>
    <w:rsid w:val="00B819EE"/>
    <w:rsid w:val="00B82577"/>
    <w:rsid w:val="00B8378B"/>
    <w:rsid w:val="00B83EF7"/>
    <w:rsid w:val="00BA1FC4"/>
    <w:rsid w:val="00BA27C6"/>
    <w:rsid w:val="00BA341E"/>
    <w:rsid w:val="00BA5249"/>
    <w:rsid w:val="00BB17CD"/>
    <w:rsid w:val="00BB43E2"/>
    <w:rsid w:val="00BB7A99"/>
    <w:rsid w:val="00BD5076"/>
    <w:rsid w:val="00BD6CF9"/>
    <w:rsid w:val="00BE5DB7"/>
    <w:rsid w:val="00BE63F3"/>
    <w:rsid w:val="00BF2727"/>
    <w:rsid w:val="00BF4E6D"/>
    <w:rsid w:val="00C066A0"/>
    <w:rsid w:val="00C0790A"/>
    <w:rsid w:val="00C2373F"/>
    <w:rsid w:val="00C301EC"/>
    <w:rsid w:val="00C3301A"/>
    <w:rsid w:val="00C343FC"/>
    <w:rsid w:val="00C3547B"/>
    <w:rsid w:val="00C40C59"/>
    <w:rsid w:val="00C435BE"/>
    <w:rsid w:val="00C466C4"/>
    <w:rsid w:val="00C5425B"/>
    <w:rsid w:val="00C74B7C"/>
    <w:rsid w:val="00C76EE9"/>
    <w:rsid w:val="00C92A28"/>
    <w:rsid w:val="00C93434"/>
    <w:rsid w:val="00C9476F"/>
    <w:rsid w:val="00CA2352"/>
    <w:rsid w:val="00CA6A99"/>
    <w:rsid w:val="00CA7703"/>
    <w:rsid w:val="00CB375D"/>
    <w:rsid w:val="00CB6DC1"/>
    <w:rsid w:val="00CC295D"/>
    <w:rsid w:val="00CD4BFE"/>
    <w:rsid w:val="00CD526F"/>
    <w:rsid w:val="00CE0009"/>
    <w:rsid w:val="00D0549C"/>
    <w:rsid w:val="00D15B03"/>
    <w:rsid w:val="00D16BEC"/>
    <w:rsid w:val="00D170AB"/>
    <w:rsid w:val="00D22244"/>
    <w:rsid w:val="00D2426F"/>
    <w:rsid w:val="00D27914"/>
    <w:rsid w:val="00D43C75"/>
    <w:rsid w:val="00D44BE8"/>
    <w:rsid w:val="00D52A15"/>
    <w:rsid w:val="00D53B35"/>
    <w:rsid w:val="00D673D6"/>
    <w:rsid w:val="00D739A9"/>
    <w:rsid w:val="00D77230"/>
    <w:rsid w:val="00D84D55"/>
    <w:rsid w:val="00D947E3"/>
    <w:rsid w:val="00DA4C6D"/>
    <w:rsid w:val="00DA5360"/>
    <w:rsid w:val="00DA5592"/>
    <w:rsid w:val="00DA59DB"/>
    <w:rsid w:val="00DB2CB9"/>
    <w:rsid w:val="00DC21A6"/>
    <w:rsid w:val="00DD0020"/>
    <w:rsid w:val="00DE587B"/>
    <w:rsid w:val="00DE6371"/>
    <w:rsid w:val="00DF3083"/>
    <w:rsid w:val="00DF49A6"/>
    <w:rsid w:val="00E010F9"/>
    <w:rsid w:val="00E02121"/>
    <w:rsid w:val="00E025AE"/>
    <w:rsid w:val="00E05BC3"/>
    <w:rsid w:val="00E07D24"/>
    <w:rsid w:val="00E128B9"/>
    <w:rsid w:val="00E14613"/>
    <w:rsid w:val="00E25775"/>
    <w:rsid w:val="00E44370"/>
    <w:rsid w:val="00E57E3D"/>
    <w:rsid w:val="00E65B40"/>
    <w:rsid w:val="00E67E53"/>
    <w:rsid w:val="00E67EBF"/>
    <w:rsid w:val="00E83332"/>
    <w:rsid w:val="00E92A03"/>
    <w:rsid w:val="00E93BBA"/>
    <w:rsid w:val="00E94B1A"/>
    <w:rsid w:val="00E97B91"/>
    <w:rsid w:val="00EA5DE2"/>
    <w:rsid w:val="00EA6725"/>
    <w:rsid w:val="00EA7742"/>
    <w:rsid w:val="00EC036C"/>
    <w:rsid w:val="00ED5086"/>
    <w:rsid w:val="00ED710C"/>
    <w:rsid w:val="00ED7E0D"/>
    <w:rsid w:val="00EF69C8"/>
    <w:rsid w:val="00EF74B8"/>
    <w:rsid w:val="00F00D2E"/>
    <w:rsid w:val="00F024C8"/>
    <w:rsid w:val="00F02D1A"/>
    <w:rsid w:val="00F10869"/>
    <w:rsid w:val="00F22525"/>
    <w:rsid w:val="00F2431B"/>
    <w:rsid w:val="00F25266"/>
    <w:rsid w:val="00F256D7"/>
    <w:rsid w:val="00F349CA"/>
    <w:rsid w:val="00F35204"/>
    <w:rsid w:val="00F400C7"/>
    <w:rsid w:val="00F401CC"/>
    <w:rsid w:val="00F42603"/>
    <w:rsid w:val="00F428E7"/>
    <w:rsid w:val="00F44B2E"/>
    <w:rsid w:val="00F44FE7"/>
    <w:rsid w:val="00F47058"/>
    <w:rsid w:val="00F56206"/>
    <w:rsid w:val="00F63CED"/>
    <w:rsid w:val="00F66653"/>
    <w:rsid w:val="00F67320"/>
    <w:rsid w:val="00F6772F"/>
    <w:rsid w:val="00F739F4"/>
    <w:rsid w:val="00F811B5"/>
    <w:rsid w:val="00F85D87"/>
    <w:rsid w:val="00F91B3D"/>
    <w:rsid w:val="00F94A38"/>
    <w:rsid w:val="00F96B51"/>
    <w:rsid w:val="00F97A81"/>
    <w:rsid w:val="00FB6FCF"/>
    <w:rsid w:val="00FB7051"/>
    <w:rsid w:val="00FC5BEE"/>
    <w:rsid w:val="00FC5D6A"/>
    <w:rsid w:val="00FD33E0"/>
    <w:rsid w:val="00FD66EF"/>
    <w:rsid w:val="00FE337C"/>
    <w:rsid w:val="00FE3AE2"/>
    <w:rsid w:val="00FE40BB"/>
    <w:rsid w:val="00FE4FAF"/>
    <w:rsid w:val="00FE6338"/>
    <w:rsid w:val="00FF13CE"/>
    <w:rsid w:val="00FF1DC3"/>
    <w:rsid w:val="00FF6292"/>
    <w:rsid w:val="01207B0A"/>
    <w:rsid w:val="02252C42"/>
    <w:rsid w:val="02B7624C"/>
    <w:rsid w:val="02D2752A"/>
    <w:rsid w:val="038F0263"/>
    <w:rsid w:val="04C9495C"/>
    <w:rsid w:val="04E946B9"/>
    <w:rsid w:val="05333EBB"/>
    <w:rsid w:val="062C0CFF"/>
    <w:rsid w:val="06DA35FE"/>
    <w:rsid w:val="07D72EEC"/>
    <w:rsid w:val="0B09160F"/>
    <w:rsid w:val="0B0A4BEC"/>
    <w:rsid w:val="0B416FFB"/>
    <w:rsid w:val="0C743634"/>
    <w:rsid w:val="0CDA7707"/>
    <w:rsid w:val="0DCF28BA"/>
    <w:rsid w:val="0F131023"/>
    <w:rsid w:val="0F372FF9"/>
    <w:rsid w:val="104D01F0"/>
    <w:rsid w:val="10AA0E51"/>
    <w:rsid w:val="115C61ED"/>
    <w:rsid w:val="14131750"/>
    <w:rsid w:val="144D6A10"/>
    <w:rsid w:val="14752984"/>
    <w:rsid w:val="15E346C1"/>
    <w:rsid w:val="15E476A1"/>
    <w:rsid w:val="16161084"/>
    <w:rsid w:val="1720040C"/>
    <w:rsid w:val="182A67AD"/>
    <w:rsid w:val="19652BCB"/>
    <w:rsid w:val="19E913AB"/>
    <w:rsid w:val="19ED659F"/>
    <w:rsid w:val="1A0A1CE0"/>
    <w:rsid w:val="1A1104E0"/>
    <w:rsid w:val="1CCB2BC8"/>
    <w:rsid w:val="1F1330A4"/>
    <w:rsid w:val="1F211421"/>
    <w:rsid w:val="1F3F164B"/>
    <w:rsid w:val="26270314"/>
    <w:rsid w:val="27FA6A57"/>
    <w:rsid w:val="29B95BC6"/>
    <w:rsid w:val="29FD5367"/>
    <w:rsid w:val="2AB50F68"/>
    <w:rsid w:val="2BAA2CF4"/>
    <w:rsid w:val="2BDB094E"/>
    <w:rsid w:val="2BE11E2F"/>
    <w:rsid w:val="2C6A44EB"/>
    <w:rsid w:val="2D3227EF"/>
    <w:rsid w:val="2D8D5C78"/>
    <w:rsid w:val="2F1A0A62"/>
    <w:rsid w:val="2FE62223"/>
    <w:rsid w:val="31422411"/>
    <w:rsid w:val="34572B3B"/>
    <w:rsid w:val="35C91817"/>
    <w:rsid w:val="36BC1970"/>
    <w:rsid w:val="375D41C0"/>
    <w:rsid w:val="37E312B6"/>
    <w:rsid w:val="3869010C"/>
    <w:rsid w:val="388D4D7E"/>
    <w:rsid w:val="3B5D4EDB"/>
    <w:rsid w:val="3C985175"/>
    <w:rsid w:val="3CEE3985"/>
    <w:rsid w:val="3DF210E6"/>
    <w:rsid w:val="3E286C4C"/>
    <w:rsid w:val="3F0142EA"/>
    <w:rsid w:val="42982C9D"/>
    <w:rsid w:val="44953938"/>
    <w:rsid w:val="455B6F58"/>
    <w:rsid w:val="468160C4"/>
    <w:rsid w:val="4BFE6267"/>
    <w:rsid w:val="4DB72B71"/>
    <w:rsid w:val="4FD83693"/>
    <w:rsid w:val="51C63383"/>
    <w:rsid w:val="520E0F94"/>
    <w:rsid w:val="52551E4F"/>
    <w:rsid w:val="5402188F"/>
    <w:rsid w:val="55D1679A"/>
    <w:rsid w:val="56B75990"/>
    <w:rsid w:val="575842A9"/>
    <w:rsid w:val="60AA6949"/>
    <w:rsid w:val="67104F71"/>
    <w:rsid w:val="6B5B0B88"/>
    <w:rsid w:val="6C465F32"/>
    <w:rsid w:val="6DFC7777"/>
    <w:rsid w:val="70903082"/>
    <w:rsid w:val="71A36941"/>
    <w:rsid w:val="73C61F74"/>
    <w:rsid w:val="76017919"/>
    <w:rsid w:val="77A7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2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3"/>
    <w:next w:val="1"/>
    <w:link w:val="33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9"/>
    <w:unhideWhenUsed/>
    <w:qFormat/>
    <w:uiPriority w:val="0"/>
  </w:style>
  <w:style w:type="paragraph" w:styleId="6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4">
    <w:name w:val="标题 1 字符"/>
    <w:basedOn w:val="12"/>
    <w:qFormat/>
    <w:uiPriority w:val="9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5">
    <w:name w:val="标题 1 字符1"/>
    <w:link w:val="2"/>
    <w:qFormat/>
    <w:uiPriority w:val="0"/>
    <w:rPr>
      <w:rFonts w:ascii="Arial" w:hAnsi="Arial" w:eastAsia="Times New Roman" w:cs="Times New Roman"/>
      <w:kern w:val="0"/>
      <w:sz w:val="36"/>
      <w:szCs w:val="20"/>
      <w:lang w:val="en-GB" w:eastAsia="en-GB"/>
    </w:rPr>
  </w:style>
  <w:style w:type="paragraph" w:customStyle="1" w:styleId="16">
    <w:name w:val="EX"/>
    <w:basedOn w:val="1"/>
    <w:link w:val="17"/>
    <w:qFormat/>
    <w:uiPriority w:val="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17">
    <w:name w:val="EX Char"/>
    <w:link w:val="16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styleId="18">
    <w:name w:val="List Paragraph"/>
    <w:basedOn w:val="1"/>
    <w:link w:val="20"/>
    <w:qFormat/>
    <w:uiPriority w:val="34"/>
    <w:pPr>
      <w:ind w:firstLine="420" w:firstLineChars="200"/>
    </w:pPr>
  </w:style>
  <w:style w:type="character" w:customStyle="1" w:styleId="19">
    <w:name w:val="批注文字 字符"/>
    <w:basedOn w:val="12"/>
    <w:link w:val="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20">
    <w:name w:val="列表段落 字符"/>
    <w:link w:val="18"/>
    <w:qFormat/>
    <w:locked/>
    <w:uiPriority w:val="34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paragraph" w:customStyle="1" w:styleId="21">
    <w:name w:val="NO"/>
    <w:basedOn w:val="1"/>
    <w:qFormat/>
    <w:uiPriority w:val="0"/>
    <w:pPr>
      <w:keepLines/>
      <w:ind w:left="1135" w:hanging="851"/>
      <w:textAlignment w:val="auto"/>
    </w:pPr>
    <w:rPr>
      <w:rFonts w:eastAsia="宋体"/>
    </w:rPr>
  </w:style>
  <w:style w:type="character" w:customStyle="1" w:styleId="22">
    <w:name w:val="页眉 字符"/>
    <w:basedOn w:val="12"/>
    <w:link w:val="7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GB"/>
    </w:rPr>
  </w:style>
  <w:style w:type="character" w:customStyle="1" w:styleId="23">
    <w:name w:val="页脚 字符"/>
    <w:basedOn w:val="12"/>
    <w:link w:val="6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GB"/>
    </w:rPr>
  </w:style>
  <w:style w:type="character" w:customStyle="1" w:styleId="24">
    <w:name w:val="标题 2 字符"/>
    <w:basedOn w:val="12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  <w:lang w:val="en-GB" w:eastAsia="en-GB"/>
    </w:rPr>
  </w:style>
  <w:style w:type="paragraph" w:customStyle="1" w:styleId="25">
    <w:name w:val="Table Title"/>
    <w:basedOn w:val="1"/>
    <w:qFormat/>
    <w:uiPriority w:val="0"/>
    <w:pPr>
      <w:overflowPunct/>
      <w:autoSpaceDE/>
      <w:autoSpaceDN/>
      <w:adjustRightInd/>
      <w:spacing w:after="0"/>
      <w:jc w:val="center"/>
      <w:textAlignment w:val="auto"/>
    </w:pPr>
    <w:rPr>
      <w:rFonts w:eastAsiaTheme="minorEastAsia"/>
      <w:smallCaps/>
      <w:sz w:val="16"/>
      <w:szCs w:val="16"/>
      <w:lang w:val="en-US" w:eastAsia="en-US"/>
    </w:rPr>
  </w:style>
  <w:style w:type="table" w:customStyle="1" w:styleId="26">
    <w:name w:val="无格式表格 21"/>
    <w:basedOn w:val="10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">
    <w:name w:val="网格表 1 浅色1"/>
    <w:basedOn w:val="10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9">
    <w:name w:val="B1"/>
    <w:basedOn w:val="8"/>
    <w:link w:val="31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paragraph" w:customStyle="1" w:styleId="30">
    <w:name w:val="B2"/>
    <w:basedOn w:val="1"/>
    <w:link w:val="32"/>
    <w:qFormat/>
    <w:uiPriority w:val="0"/>
    <w:pPr>
      <w:overflowPunct/>
      <w:autoSpaceDE/>
      <w:autoSpaceDN/>
      <w:adjustRightInd/>
      <w:ind w:left="851" w:hanging="284"/>
      <w:textAlignment w:val="auto"/>
    </w:pPr>
    <w:rPr>
      <w:rFonts w:eastAsiaTheme="minorEastAsia"/>
      <w:lang w:eastAsia="en-US"/>
    </w:rPr>
  </w:style>
  <w:style w:type="character" w:customStyle="1" w:styleId="31">
    <w:name w:val="B1 Char"/>
    <w:link w:val="29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2">
    <w:name w:val="B2 Char"/>
    <w:link w:val="30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3">
    <w:name w:val="标题 3 字符"/>
    <w:basedOn w:val="12"/>
    <w:link w:val="4"/>
    <w:semiHidden/>
    <w:qFormat/>
    <w:uiPriority w:val="9"/>
    <w:rPr>
      <w:rFonts w:ascii="Times New Roman" w:hAnsi="Times New Roman" w:eastAsia="Times New Roman" w:cs="Times New Roman"/>
      <w:b/>
      <w:bCs/>
      <w:kern w:val="0"/>
      <w:sz w:val="32"/>
      <w:szCs w:val="32"/>
      <w:lang w:val="en-GB" w:eastAsia="en-GB"/>
    </w:rPr>
  </w:style>
  <w:style w:type="paragraph" w:customStyle="1" w:styleId="34">
    <w:name w:val="TAH"/>
    <w:basedOn w:val="35"/>
    <w:link w:val="38"/>
    <w:qFormat/>
    <w:uiPriority w:val="99"/>
    <w:rPr>
      <w:b/>
    </w:rPr>
  </w:style>
  <w:style w:type="paragraph" w:customStyle="1" w:styleId="35">
    <w:name w:val="TAC"/>
    <w:basedOn w:val="36"/>
    <w:link w:val="37"/>
    <w:qFormat/>
    <w:uiPriority w:val="99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3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37">
    <w:name w:val="TAC Char"/>
    <w:link w:val="35"/>
    <w:qFormat/>
    <w:uiPriority w:val="9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38">
    <w:name w:val="TAH Car"/>
    <w:link w:val="34"/>
    <w:qFormat/>
    <w:uiPriority w:val="99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39">
    <w:name w:val="TAN"/>
    <w:basedOn w:val="36"/>
    <w:link w:val="40"/>
    <w:qFormat/>
    <w:uiPriority w:val="0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40">
    <w:name w:val="TAN Char"/>
    <w:link w:val="39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4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2">
    <w:name w:val="List Paragraph1"/>
    <w:basedOn w:val="1"/>
    <w:qFormat/>
    <w:uiPriority w:val="0"/>
    <w:pPr>
      <w:spacing w:before="100" w:beforeAutospacing="1"/>
      <w:ind w:firstLine="420" w:firstLineChars="200"/>
    </w:pPr>
    <w:rPr>
      <w:rFonts w:eastAsia="宋体"/>
      <w:sz w:val="24"/>
      <w:szCs w:val="24"/>
      <w:lang w:val="en-US" w:eastAsia="zh-CN"/>
    </w:rPr>
  </w:style>
  <w:style w:type="paragraph" w:customStyle="1" w:styleId="43">
    <w:name w:val="Status"/>
    <w:basedOn w:val="44"/>
    <w:qFormat/>
    <w:uiPriority w:val="0"/>
    <w:rPr>
      <w:b w:val="0"/>
    </w:rPr>
  </w:style>
  <w:style w:type="paragraph" w:styleId="44">
    <w:name w:val="Quote"/>
    <w:basedOn w:val="1"/>
    <w:next w:val="1"/>
    <w:qFormat/>
    <w:uiPriority w:val="0"/>
    <w:pPr>
      <w:spacing w:after="120"/>
      <w:ind w:left="792"/>
    </w:pPr>
    <w:rPr>
      <w:rFonts w:ascii="Roboto Condensed" w:hAnsi="Roboto Condensed"/>
      <w:b/>
      <w:color w:val="4472C4" w:themeColor="accent1"/>
      <w14:textFill>
        <w14:solidFill>
          <w14:schemeClr w14:val="accent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741</Words>
  <Characters>4447</Characters>
  <Lines>38</Lines>
  <Paragraphs>10</Paragraphs>
  <TotalTime>32</TotalTime>
  <ScaleCrop>false</ScaleCrop>
  <LinksUpToDate>false</LinksUpToDate>
  <CharactersWithSpaces>5141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2023-05-15T16:56:00Z</dcterms:created>
  <dc:creator>CAICT</dc:creator>
  <cp:lastModifiedBy>Siting Zhu</cp:lastModifiedBy>
  <dcterms:modified xsi:type="dcterms:W3CDTF">2025-02-07T16:41:10Z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B5B4CAF2D1214B24B7756AD1710A10B2_13</vt:lpwstr>
  </property>
  <property fmtid="{D5CDD505-2E9C-101B-9397-08002B2CF9AE}" pid="4" name="KSOTemplateDocerSaveRecord">
    <vt:lpwstr>eyJoZGlkIjoiOTU4MjljY2YzMDI1NGE4ZjYxYjczNDgxZmJjYzMzMTQiLCJ1c2VySWQiOiI0OTE3MDIwNzMifQ==</vt:lpwstr>
  </property>
</Properties>
</file>